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Securing animals for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Securing animals for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§1805. SECURING ANIMALS FOR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