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Disposal of infected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Disposal of infected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§1815. DISPOSAL OF INFECTED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