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Farmers Drought Relief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§220-A. FARMERS DROUGHT RELIEF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