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Findings -- Article I</w:t>
      </w:r>
    </w:p>
    <w:p>
      <w:pPr>
        <w:jc w:val="both"/>
        <w:spacing w:before="100" w:after="100"/>
        <w:ind w:start="360"/>
        <w:ind w:firstLine="360"/>
      </w:pPr>
      <w:r>
        <w:rPr/>
      </w:r>
      <w:r>
        <w:rPr/>
      </w:r>
      <w:r>
        <w:t xml:space="preserve">The party states find that in the absence of the higher degree of cooperation among them possible under this compact, the annual loss of approximately $137,000,000,000 from the depredations of pests is virtually certain to continue, if not to increase.</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Because of varying climatic, geographic and economic factors, each state may be affected differently by particular species of pests, but all states share the inability to protect themselves fully against those pests that present serious dangers to them.</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The migratory character of pest infestations makes it necessary for states, both adjacent to and distant from one another, to complement each other's activities when faced with conditions of infestation and reinfestation.</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While every state is seriously affected by a substantial number of pests and every state is susceptible to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§2312. Findings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Findings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§2312. FINDINGS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