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Compact administrator</w:t>
      </w:r>
    </w:p>
    <w:p>
      <w:pPr>
        <w:jc w:val="both"/>
        <w:spacing w:before="100" w:after="100"/>
        <w:ind w:start="360"/>
        <w:ind w:firstLine="360"/>
      </w:pPr>
      <w:r>
        <w:rPr/>
      </w:r>
      <w:r>
        <w:rPr/>
      </w:r>
      <w:r>
        <w:t xml:space="preserve">The compact administrator for this State is the Commissioner of Agriculture, Conservation and Forestry. The duties of the compact administrator are deemed a regular part of the duties of this office.</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 Compact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Compact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§2325. COMPACT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