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1989, c. 798, §2 (AMD). PL 1999, c. 668, §64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