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Responsibility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Responsibility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§2352. RESPONSIBILITY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