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Annual review</w:t>
      </w:r>
    </w:p>
    <w:p>
      <w:pPr>
        <w:jc w:val="both"/>
        <w:spacing w:before="100" w:after="100"/>
        <w:ind w:start="360"/>
        <w:ind w:firstLine="360"/>
      </w:pPr>
      <w:r>
        <w:rPr/>
      </w:r>
      <w:r>
        <w:rPr/>
      </w:r>
      <w:r>
        <w:t xml:space="preserve">The commissioner and the Agricultural Development Committee shall, on an annual basis, review the effectiveness of the programs operated under the provisions of this chapter and provide a summary of the review to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[RR 2015, c. 2,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2009, c. 337, §9 (AMD). RR 2015, c. 2,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§309.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