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§3155-A. Predatory behavior of eligible marketing cooperative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§3155-A. Predatory behavior of eligible marketing cooperative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§3155-A. PREDATORY BEHAVIOR OF ELIGIBLE MARKETING COOPERATIVE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