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320-B</w:t>
        <w:t xml:space="preserve">.  </w:t>
      </w:r>
      <w:r>
        <w:rPr>
          <w:b/>
        </w:rPr>
        <w:t xml:space="preserve">Maine Agriculture, Food and Forest Products Investment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Agriculture, Food and Forest Products Investment Fund, referred to in this chapter as "the fund," is established and administered by the department to support public-private partnerships to carry out the purposes of this chapter. The fund consists of money appropriated to the fund or received from any other private or public source.  Interest in investment of money of the fund is credited to the fund. Unexpended balances at the end of the fiscal year do not lapse but carry over into the next fiscal year.  The Maine Agriculture, Food System and Forest Products Infrastructure Investment Advisory Board established in </w:t>
      </w:r>
      <w:r>
        <w:t>section 320‑C</w:t>
      </w:r>
      <w:r>
        <w:t xml:space="preserve"> shall oversee and determine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§320-B. Maine Agriculture, Food and Forest Products Investment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§320-B. Maine Agriculture, Food and Forest Products Investment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§320-B. MAINE AGRICULTURE, FOOD AND FOREST PRODUCTS INVESTMENT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