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corporation or partnership subject to this chapter which violates this law or the regulations adopted thereunder or which submits a report which contains information that is false or misleading shall be subject to a civil penalty, payable to the State, of not more than $50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Warning.</w:t>
        <w:t xml:space="preserve"> </w:t>
      </w:r>
      <w:r>
        <w:t xml:space="preserve"> </w:t>
      </w:r>
      <w:r>
        <w:t xml:space="preserve">A corporation or partnership subject to this chapter which does not comply with the law in a timely fashion shall first receive a written warning from the Department of Agriculture, Conservation and Forestry which will require presentation of the information within 30 days.  After the 30-day notice period is expired, penalties described in </w:t>
      </w:r>
      <w:r>
        <w:t>subsection 1</w:t>
      </w:r>
      <w:r>
        <w:t xml:space="preserve"> shall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