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A. Procedure for acceptance and disposition of cats by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A. Procedure for acceptance and disposition of cats by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A. PROCEDURE FOR ACCEPTANCE AND DISPOSITION OF CATS BY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