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Nutrient Management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Nutrient Management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§4203. NUTRIENT MANAGEMENT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