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w:t>
        <w:t xml:space="preserve">.  </w:t>
      </w:r>
      <w:r>
        <w:rPr>
          <w:b/>
        </w:rPr>
        <w:t xml:space="preserve">Misbranding</w:t>
      </w:r>
    </w:p>
    <w:p>
      <w:pPr>
        <w:jc w:val="both"/>
        <w:spacing w:before="100" w:after="100"/>
        <w:ind w:start="360"/>
        <w:ind w:firstLine="360"/>
      </w:pPr>
      <w:r>
        <w:rPr/>
      </w:r>
      <w:r>
        <w:rPr/>
      </w:r>
      <w:r>
        <w:t xml:space="preserve">The term "misbranded" as used in this chapter or </w:t>
      </w:r>
      <w:r>
        <w:t>chapter 103</w:t>
      </w:r>
      <w:r>
        <w:t xml:space="preserve"> applies to all articles of commercial feeding stuff, commercial fertilizer or food, the package or label of which bears any statement, design or device regarding such article, or the ingredients or substances contained therein, that is false or misleading in any particular or that is falsely branded in any particular.</w:t>
      </w:r>
      <w:r>
        <w:t xml:space="preserve">  </w:t>
      </w:r>
      <w:r xmlns:wp="http://schemas.openxmlformats.org/drawingml/2010/wordprocessingDrawing" xmlns:w15="http://schemas.microsoft.com/office/word/2012/wordml">
        <w:rPr>
          <w:rFonts w:ascii="Arial" w:hAnsi="Arial" w:cs="Arial"/>
          <w:sz w:val="22"/>
          <w:szCs w:val="22"/>
        </w:rPr>
        <w:t xml:space="preserve">[PL 2005, c. 512, §19 (AMD).]</w:t>
      </w:r>
    </w:p>
    <w:p>
      <w:pPr>
        <w:jc w:val="both"/>
        <w:spacing w:before="100" w:after="100"/>
        <w:ind w:start="360"/>
        <w:ind w:firstLine="360"/>
      </w:pPr>
      <w:r>
        <w:rPr>
          <w:b/>
        </w:rPr>
        <w:t>1</w:t>
        <w:t xml:space="preserve">.  </w:t>
      </w:r>
      <w:r>
        <w:rPr>
          <w:b/>
        </w:rPr>
        <w:t xml:space="preserve">Drug.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§484. Misbranding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 Misbranding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§484. MISBRANDING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