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§527. PROMULGATION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