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w:t>
        <w:t xml:space="preserve">.  </w:t>
      </w:r>
      <w:r>
        <w:rPr>
          <w:b/>
        </w:rPr>
        <w:t xml:space="preserve">Sale and movement of apples</w:t>
      </w:r>
    </w:p>
    <w:p>
      <w:pPr>
        <w:jc w:val="both"/>
        <w:spacing w:before="100" w:after="100"/>
        <w:ind w:start="360"/>
        <w:ind w:firstLine="360"/>
      </w:pPr>
      <w:r>
        <w:rPr/>
      </w:r>
      <w:r>
        <w:rPr/>
      </w:r>
      <w:r>
        <w:t xml:space="preserve">A person, firm or corporation may not within this State sell, distribute, transport, offer or expose for sale, distribution or transportation any apples that do not conform to the apple grades established in </w:t>
      </w:r>
      <w:r>
        <w:t>section 533</w:t>
      </w:r>
      <w:r>
        <w:t xml:space="preserve">.  This section does not apply to any person, firm or corporation supplying apples consigned to a processing plant for use therein.  This subchapter may not be construed to prevent a grower or shipper of apples from delivering the same to a packing house for grading or to a processing plant or cold storage plant where apples are stored and prepared for market. Apples that do not meet the established grades or classifications as provided by </w:t>
      </w:r>
      <w:r>
        <w:t>section 533</w:t>
      </w:r>
      <w:r>
        <w:t xml:space="preserve"> may be sold as culls as long as the package or container is conspicuously marked with the word "Culls". The commissioner shall diligently enforce this section and in person or by deputy has free access, ingress and egress at all reasonable hours to any place or any building wherein apples are stored, transported, sold, offered or exposed for sale or for transportation. The commissioner may in person or by deputy upon tendering the market price take samples of apples therefrom.</w:t>
      </w:r>
      <w:r>
        <w:t xml:space="preserve">  </w:t>
      </w:r>
      <w:r xmlns:wp="http://schemas.openxmlformats.org/drawingml/2010/wordprocessingDrawing" xmlns:w15="http://schemas.microsoft.com/office/word/2012/wordml">
        <w:rPr>
          <w:rFonts w:ascii="Arial" w:hAnsi="Arial" w:cs="Arial"/>
          <w:sz w:val="22"/>
          <w:szCs w:val="22"/>
        </w:rPr>
        <w:t xml:space="preserve">[RR 2021, c. 1, Pt. B, §88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§537. Sale and movement of apples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 Sale and movement of apples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§537. SALE AND MOVEMENT OF APPLES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