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w:t>
        <w:t xml:space="preserve">.  </w:t>
      </w:r>
      <w:r>
        <w:rPr>
          <w:b/>
        </w:rPr>
        <w:t xml:space="preserve">Rules for administration</w:t>
      </w:r>
    </w:p>
    <w:p>
      <w:pPr>
        <w:jc w:val="both"/>
        <w:spacing w:before="100" w:after="100"/>
        <w:ind w:start="360"/>
        <w:ind w:firstLine="360"/>
      </w:pPr>
      <w:r>
        <w:rPr/>
      </w:r>
      <w:r>
        <w:rPr/>
      </w:r>
      <w:r>
        <w:t xml:space="preserve">The commissioner after reasonable notice and hearing may promulgate and enforce rules for the administration of this subchapter, in a manner consistent with the Maine Administrative Procedure Act, </w:t>
      </w:r>
      <w:r>
        <w:t>Title 5, chapter 375</w:t>
      </w:r>
      <w:r>
        <w:t xml:space="preserve">, and grant exemptions from specific requirements of this subchapter as, from time to time, may be required.</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 Rules for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 Rules for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§770. RULES FOR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