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w:t>
        <w:t xml:space="preserve">.  </w:t>
      </w:r>
      <w:r>
        <w:rPr>
          <w:b/>
        </w:rPr>
        <w:t xml:space="preserve">Rules and regulations</w:t>
      </w:r>
    </w:p>
    <w:p>
      <w:pPr>
        <w:jc w:val="both"/>
        <w:spacing w:before="100" w:after="100"/>
        <w:ind w:start="360"/>
        <w:ind w:firstLine="360"/>
      </w:pPr>
      <w:r>
        <w:rPr/>
      </w:r>
      <w:r>
        <w:rPr/>
      </w:r>
      <w:r>
        <w:t xml:space="preserve">The commissioner is authorized pursuant to the Maine Administrative Procedure Act, </w:t>
      </w:r>
      <w:r>
        <w:t>Title 5, chapter 375</w:t>
      </w:r>
      <w:r>
        <w:t xml:space="preserve">, to adopt and enforce such rules as may be necessary for this subchapter.</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§785.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§785.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