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HORSE RACING</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HORSE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HORSE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13. HORSE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