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REGULATION OF SPORTS WAGERING</w:t>
      </w:r>
    </w:p>
    <w:p>
      <w:pPr>
        <w:jc w:val="both"/>
        <w:spacing w:before="100" w:after="100"/>
        <w:ind w:start="1080" w:hanging="720"/>
      </w:pPr>
      <w:r>
        <w:rPr>
          <w:b/>
        </w:rPr>
        <w:t>§</w:t>
        <w:t>1201</w:t>
        <w:t xml:space="preserve">.  </w:t>
      </w:r>
      <w:r>
        <w:rPr>
          <w:b/>
        </w:rPr>
        <w:t xml:space="preserve">Authorization of sports wagering; license required</w:t>
      </w:r>
    </w:p>
    <w:p>
      <w:pPr>
        <w:jc w:val="both"/>
        <w:spacing w:before="100" w:after="100"/>
        <w:ind w:start="360"/>
        <w:ind w:firstLine="360"/>
      </w:pPr>
      <w:r>
        <w:rPr/>
      </w:r>
      <w:r>
        <w:rPr/>
      </w:r>
      <w:r>
        <w:t xml:space="preserve">Notwithstanding any provision of law to the contrary, the operation of sports wagering and ancillary activities are lawful when conducted in accordance with the provisions of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100"/>
        <w:ind w:start="360"/>
        <w:ind w:firstLine="360"/>
      </w:pPr>
      <w:r>
        <w:rPr/>
      </w:r>
      <w:r>
        <w:rPr/>
      </w:r>
      <w:r>
        <w:t xml:space="preserve">A person or entity may not engage in any activities in this State that require a license under this chapter unless all necessary licenses have been obtained in accordance with this chapter and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Provisions allowing individuals to restrict themselves from sports wagering upon request by placing themselves on the universal list pursuant to </w:t>
      </w:r>
      <w:r>
        <w:t>section 1003, subsection 3, paragraph I</w:t>
      </w:r>
      <w:r>
        <w:t xml:space="preserve">.  The rules adopted under this paragraph must define the standards for involuntary placement on the universal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2023, c. 635, §9 (AMD).]</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§9 (AMD).]</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§9 (AMD). </w:t>
      </w:r>
    </w:p>
    <w:p>
      <w:pPr>
        <w:jc w:val="both"/>
        <w:spacing w:before="100" w:after="100"/>
        <w:ind w:start="1080" w:hanging="720"/>
      </w:pPr>
      <w:r>
        <w:rPr>
          <w:b/>
        </w:rPr>
        <w:t>§</w:t>
        <w:t>1204</w:t>
        <w:t xml:space="preserve">.  </w:t>
      </w:r>
      <w:r>
        <w:rPr>
          <w:b/>
        </w:rPr>
        <w:t xml:space="preserve">Application; criminal history background check</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license or for renewal of a license required under this chapter must be submitted on a form or in a format approved by the director.  An application submitted to the director must, at a minimum, include the following:</w:t>
      </w:r>
    </w:p>
    <w:p>
      <w:pPr>
        <w:jc w:val="both"/>
        <w:spacing w:before="100" w:after="0"/>
        <w:ind w:start="720"/>
      </w:pPr>
      <w:r>
        <w:rPr/>
        <w:t>A</w:t>
        <w:t xml:space="preserve">.  </w:t>
      </w:r>
      <w:r>
        <w:rPr/>
      </w:r>
      <w:r>
        <w:t xml:space="preserve">The full name, current address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Disclosure of each person that has control of the applicant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Consent to permit the director to conduct a criminal history record check in accordance with </w:t>
      </w:r>
      <w:r>
        <w:t>subsection 3</w:t>
      </w:r>
      <w:r>
        <w:t xml:space="preserve"> of the applicant and each person disclosed under </w:t>
      </w:r>
      <w:r>
        <w:t>paragraph B</w:t>
      </w:r>
      <w:r>
        <w:t xml:space="preserve"> in accordance with procedures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Any additional information required by the director by rule.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Persons that have control.</w:t>
        <w:t xml:space="preserve"> </w:t>
      </w:r>
      <w:r>
        <w:t xml:space="preserve"> </w:t>
      </w:r>
      <w:r>
        <w:t xml:space="preserve">The following persons are considered to have control of an applicant or a licensee:</w:t>
      </w:r>
    </w:p>
    <w:p>
      <w:pPr>
        <w:jc w:val="both"/>
        <w:spacing w:before="100" w:after="0"/>
        <w:ind w:start="720"/>
      </w:pPr>
      <w:r>
        <w:rPr/>
        <w:t>A</w:t>
        <w:t xml:space="preserve">.  </w:t>
      </w:r>
      <w:r>
        <w:rPr/>
      </w:r>
      <w:r>
        <w:t xml:space="preserve">Each corporate holding company, parent company or subsidiary company of a corporate applicant or licensee and each person that owns 10% or more of the corporate applicant or licensee and that has the ability to control the activities of the corporate applicant or licensee or elect a majority of the board of directors of that corporate applicant or licensee, except for a bank or other licensed lending institution that holds a mortgage or other lien acquired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Each person associated with a noncorporate applicant or licensee that directly or indirectly holds a beneficial or proprietary interest in the noncorporate applicant's or licensee's business operation or that the director otherwise determines has the ability to control the noncorporate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Key personnel of an applicant or licensee, including any executive, employee or agent, having the power to exercise significant influence over decisions concerning any part of the applicant's or licensee's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Criminal history record check.</w:t>
        <w:t xml:space="preserve"> </w:t>
      </w:r>
      <w:r>
        <w:t xml:space="preserve"> </w:t>
      </w:r>
      <w:r>
        <w:t xml:space="preserve">The director shall request a criminal history record check in accordance with this subsection for each applicant for initial licensure and each person required to be disclosed by the applicant for initial licensure under </w:t>
      </w:r>
      <w:r>
        <w:t>subsection 1, paragraph B</w:t>
      </w:r>
      <w:r>
        <w:t xml:space="preserve">.  The director may require a criminal history record check in accordance with this subsection from a licensee seeking to renew a license, from any person the licensee is required to disclose under </w:t>
      </w:r>
      <w:r>
        <w:t>subsection 1, paragraph B</w:t>
      </w:r>
      <w:r>
        <w:t xml:space="preserve"> as part of the license renewal application and from any person identified by the licensee under </w:t>
      </w:r>
      <w:r>
        <w:t>subsection 4</w:t>
      </w:r>
      <w:r>
        <w:t xml:space="preserve">.  A criminal history record check conducted pursuant to this subsection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Criminal history record information obtained from the Maine Criminal Justice Information System pursuant to this subsection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Criminal history record information obtained from the Federal Bureau of Investigation pursuant to this subsection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individual required to submit to a criminal history record check under this subsection shall submit to having the individual's fingerprints taken.  The State Police, upon payment by the individual of the fee required under </w:t>
      </w:r>
      <w:r>
        <w:t>paragraph E</w:t>
      </w:r>
      <w:r>
        <w:t xml:space="preserve">, shall take or cause to be taken the individual's fingerprints and shall immediately forward the fingerprints to the Department of Public Safety, Bureau of State Police, State Bureau of Identification.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Department of Public Safety, Bureau of State Police, State Bureau of Identification shall conduct the state and national criminal history record checks required under this subsection.  Except for the portion of a payment, if any, that constitutes the processing fee for a criminal history record check charged by the Federal Bureau of Investigation, all money received by the State Police under this subsection must be paid to the Treasurer of State, who shall apply the money to the expenses incurred by the Department of Public Safety in the administration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director shall by rule set the amount of the fee to be paid for each criminal history record check required to be performed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State and national criminal history record information obtained by the director under this subsection may be used only for the purpose of screening an applicant for a license or a license renewal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All criminal history record information obtained by the director pursuant to this subsection is confidential, is for the official use of the director only and may not be disseminated by the director or disclosed to any other person or entity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The director, after consultation with the Department of Public Safety, Bureau of State Police, State Bureau of Identification, shall adopt rules to implement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Material change to application.</w:t>
        <w:t xml:space="preserve"> </w:t>
      </w:r>
      <w:r>
        <w:t xml:space="preserve"> </w:t>
      </w:r>
      <w:r>
        <w:t xml:space="preserve">A person licensed under this chapter shall give the director written notice within 30 days of any material change to any information provided in the licensee's application for a license or renewal, including any change in the identity of persons considered to have control of the licensee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Gambling Control Unit employees prohibited.</w:t>
        <w:t xml:space="preserve"> </w:t>
      </w:r>
      <w:r>
        <w:t xml:space="preserve"> </w:t>
      </w:r>
      <w:r>
        <w:t xml:space="preserve">An employee of the Gambling Control Unit within the department may not be an applicant for a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1206</w:t>
        <w:t xml:space="preserve">.  </w:t>
      </w:r>
      <w:r>
        <w:rPr>
          <w:b/>
        </w:rPr>
        <w:t xml:space="preserve">Facility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facility sports wagering license upon finding that the applicant meets all requirements of this section, </w:t>
      </w:r>
      <w:r>
        <w:t>sections 1204</w:t>
      </w:r>
      <w:r>
        <w:t xml:space="preserve"> and </w:t>
      </w:r>
      <w:r>
        <w:t>1205</w:t>
      </w:r>
      <w:r>
        <w:t xml:space="preserve"> and rules adopted under this chapter. The director may issue no more than 10 facility sports wagering licenses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Eligibility; transfer prohibited.</w:t>
        <w:t xml:space="preserve"> </w:t>
      </w:r>
      <w:r>
        <w:t xml:space="preserve"> </w:t>
      </w:r>
      <w:r>
        <w:t xml:space="preserve">To be eligible to receive a facility sports wagering license, an applicant must be:</w:t>
      </w:r>
    </w:p>
    <w:p>
      <w:pPr>
        <w:jc w:val="both"/>
        <w:spacing w:before="100" w:after="0"/>
        <w:ind w:start="720"/>
      </w:pPr>
      <w:r>
        <w:rPr/>
        <w:t>A</w:t>
        <w:t xml:space="preserve">.  </w:t>
      </w:r>
      <w:r>
        <w:rPr/>
      </w:r>
      <w:r>
        <w:t xml:space="preserve">A commercial track as defined in </w:t>
      </w:r>
      <w:r>
        <w:t>section 275‑A, subsection 1</w:t>
      </w:r>
      <w:r>
        <w:t xml:space="preserve"> not located in Bangor;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casino licensed under </w:t>
      </w:r>
      <w:r>
        <w:t>section 1011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off-track betting facility licensed under </w:t>
      </w:r>
      <w:r>
        <w:t>section 275‑D</w:t>
      </w:r>
      <w:r>
        <w:t xml:space="preserve"> or Public Law 2019, chapter 626, section 16.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Each off-track betting facility may receive only one facility sports wagering license under this section.  A facility sports wagering license may not be transferred or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facility sports wagering license granted by the director pursuant to this section grants a licensee lawful authority to conduct sports wagering in which wagers are placed within a physical location controlled by the licensee in the State within the terms and conditions of the license and any rules adopted under this chapter.  A facility sports wagering licensee may contract with a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facility sports wagering license issued prior to September 1, 2024 is $4,000 and for an initial or renewed facility sports wagering license issued on or after September 1, 2024 is $1,000.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  The failure of a facility sports wagering licensee to maintain its underlying off-track betting license voids the facility sports wagering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§2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facility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facility sports wagering license.  A temporary license issued under this subsection is valid for the length of the term of the license under </w:t>
      </w:r>
      <w:r>
        <w:t>subsection 5</w:t>
      </w:r>
      <w:r>
        <w:t xml:space="preserve"> or until a final determination on the facility sports wagering license application is made, whichever is sooner.  If after investigation the director determines that the applicant is eligible for a facility sports wagering license under this chapter, the director shall issue the initial facility sports wagering license, at which time the temporary license terminates.  The initial facility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facility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§3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facility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Municipal control.</w:t>
        <w:t xml:space="preserve"> </w:t>
      </w:r>
      <w:r>
        <w:t xml:space="preserve"> </w:t>
      </w:r>
      <w:r>
        <w:t xml:space="preserve">Nothing in this chapter may be construed to restrict the authority of municipalities under municipal home rule provisions of the Constitution of Maine, including zoning and public safety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§§1-3 (AMD). </w:t>
      </w:r>
    </w:p>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issued prior to September 1, 2024 is $200,000 and for an initial or renewed mobile sports wagering license issued on or after September 1, 2024 is $50,000.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§4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§5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the length of the term of the license under </w:t>
      </w:r>
      <w:r>
        <w:t>subsection 5</w:t>
      </w:r>
      <w:r>
        <w:t xml:space="preserve">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§6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§§4-6 (AMD). </w:t>
      </w:r>
    </w:p>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issued prior to September 1, 2024 is $40,000 and for an initial or renewed supplier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§7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§8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the length of the term of the license under </w:t>
      </w:r>
      <w:r>
        <w:t>subsection 5</w:t>
      </w:r>
      <w:r>
        <w:t xml:space="preserve">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§9 (AMD).]</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§§7-9 (AMD). </w:t>
      </w:r>
    </w:p>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issued prior to September 1, 2024 is $40,000 and for an initial or renewed management services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§10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§11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the length of the term of the license under </w:t>
      </w:r>
      <w:r>
        <w:t>subsection 5</w:t>
      </w:r>
      <w:r>
        <w:t xml:space="preserve">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§§10-12 (AMD). </w:t>
      </w:r>
    </w:p>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1211</w:t>
        <w:t xml:space="preserve">.  </w:t>
      </w:r>
      <w:r>
        <w:rPr>
          <w:b/>
        </w:rPr>
        <w:t xml:space="preserve">Sports wagering house rules</w:t>
      </w:r>
    </w:p>
    <w:p>
      <w:pPr>
        <w:jc w:val="both"/>
        <w:spacing w:before="100" w:after="0"/>
        <w:ind w:start="360"/>
        <w:ind w:firstLine="360"/>
      </w:pPr>
      <w:r>
        <w:rPr>
          <w:b/>
        </w:rPr>
        <w:t>1</w:t>
        <w:t xml:space="preserve">.  </w:t>
      </w:r>
      <w:r>
        <w:rPr>
          <w:b/>
        </w:rPr>
        <w:t xml:space="preserve">Adoption of house rules.</w:t>
        <w:t xml:space="preserve"> </w:t>
      </w:r>
      <w:r>
        <w:t xml:space="preserve"> </w:t>
      </w:r>
      <w:r>
        <w:t xml:space="preserve">An operator shall adopt comprehensive house rules for game play governing sports wagering transactions with its patrons.  House rules must be approved by the director prior to implementation and meet the minimum standards established by the director by rule, including, but not limited to, requiring that the house rules specify the amounts to be paid on winning wagers and the effect of sports event schedule changes, the circumstances under which the operator will void a wager and treatment of errors, late wagers and related contingencies.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Advertisement of house rules.</w:t>
        <w:t xml:space="preserve"> </w:t>
      </w:r>
      <w:r>
        <w:t xml:space="preserve"> </w:t>
      </w:r>
      <w:r>
        <w:t xml:space="preserve">The house rules, together with any other information the director determines to be appropriate, must be advertised as required by the director by rule and must be made readily available to patrons. 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1213</w:t>
        <w:t xml:space="preserve">.  </w:t>
      </w:r>
      <w:r>
        <w:rPr>
          <w:b/>
        </w:rPr>
        <w:t xml:space="preserve">Persons prohibited from making wagers on sports events</w:t>
      </w:r>
    </w:p>
    <w:p>
      <w:pPr>
        <w:jc w:val="both"/>
        <w:spacing w:before="100" w:after="100"/>
        <w:ind w:start="360"/>
        <w:ind w:firstLine="360"/>
      </w:pPr>
      <w:r>
        <w:rPr/>
      </w:r>
      <w:r>
        <w:rPr/>
      </w:r>
      <w:r>
        <w:t xml:space="preserve">An operator and a management services licensee conducting sports wagering on behalf of an operator may not accept a wager on a sports event from the following persons: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Persons under 21 years of age.</w:t>
        <w:t xml:space="preserve"> </w:t>
      </w:r>
      <w:r>
        <w:t xml:space="preserve"> </w:t>
      </w:r>
      <w:r>
        <w:t xml:space="preserve">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Sports event participants.</w:t>
        <w:t xml:space="preserve"> </w:t>
      </w:r>
      <w:r>
        <w:t xml:space="preserve"> </w:t>
      </w:r>
      <w:r>
        <w:t xml:space="preserve">An athlete or individual who participates or officiates in the sports event that is the subject of the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Operators and employees.</w:t>
        <w:t xml:space="preserve"> </w:t>
      </w:r>
      <w:r>
        <w:t xml:space="preserve"> </w:t>
      </w:r>
      <w:r>
        <w:t xml:space="preserve">An operator or management services licensee; directors, officers and employees of an operator or management services licensee; or a relative living in the same household as any of these persons.  This subsection does not prohibit a relative living in the same household as a director, officer or employee of an operator or management services licensee from making a sports wager with an unaffiliated operator or management services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Interested parties.</w:t>
        <w:t xml:space="preserve"> </w:t>
      </w:r>
      <w:r>
        <w:t xml:space="preserve"> </w:t>
      </w:r>
      <w:r>
        <w:t xml:space="preserve">A person with an interest in the outcome of the sports event identified by the director by rule.  The interested parties identified by the director by rule under this subsection may include, but are not limited to, legal or beneficial owners of or employees of a sports team participating in the event or another sports team in the same league as a sports team participating in the event as well as directors, owners or employees of the sports league conducting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Unauthorized persons.</w:t>
        <w:t xml:space="preserve"> </w:t>
      </w:r>
      <w:r>
        <w:t xml:space="preserve"> </w:t>
      </w:r>
      <w:r>
        <w:t xml:space="preserve">A person on the universal list established by rule under </w:t>
      </w:r>
      <w:r>
        <w:t>section 1003, subsection 3, paragraph I</w:t>
      </w:r>
      <w:r>
        <w:t xml:space="preserve"> of persons who are restricted from making wagers on sports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§10 (AMD).]</w:t>
      </w:r>
    </w:p>
    <w:p>
      <w:pPr>
        <w:jc w:val="both"/>
        <w:spacing w:before="100" w:after="0"/>
        <w:ind w:start="360"/>
        <w:ind w:firstLine="360"/>
      </w:pPr>
      <w:r>
        <w:rPr>
          <w:b/>
        </w:rPr>
        <w:t>6</w:t>
        <w:t xml:space="preserve">.  </w:t>
      </w:r>
      <w:r>
        <w:rPr>
          <w:b/>
        </w:rPr>
        <w:t xml:space="preserve">Third parties.</w:t>
        <w:t xml:space="preserve"> </w:t>
      </w:r>
      <w:r>
        <w:t xml:space="preserve"> </w:t>
      </w:r>
      <w:r>
        <w:t xml:space="preserve">A person making a wager on behalf of or as the agent or custodian of another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Regulatory staff.</w:t>
        <w:t xml:space="preserve"> </w:t>
      </w:r>
      <w:r>
        <w:t xml:space="preserve"> </w:t>
      </w:r>
      <w:r>
        <w:t xml:space="preserve">An employee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§10 (AMD). </w:t>
      </w:r>
    </w:p>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1215</w:t>
        <w:t xml:space="preserve">.  </w:t>
      </w:r>
      <w:r>
        <w:rPr>
          <w:b/>
        </w:rPr>
        <w:t xml:space="preserve">Abnormal wagering activity</w:t>
      </w:r>
    </w:p>
    <w:p>
      <w:pPr>
        <w:jc w:val="both"/>
        <w:spacing w:before="100" w:after="0"/>
        <w:ind w:start="360"/>
        <w:ind w:firstLine="360"/>
      </w:pPr>
      <w:r>
        <w:rPr>
          <w:b/>
        </w:rPr>
        <w:t>1</w:t>
        <w:t xml:space="preserve">.  </w:t>
      </w:r>
      <w:r>
        <w:rPr>
          <w:b/>
        </w:rPr>
        <w:t xml:space="preserve">Duty to report.</w:t>
        <w:t xml:space="preserve"> </w:t>
      </w:r>
      <w:r>
        <w:t xml:space="preserve"> </w:t>
      </w:r>
      <w:r>
        <w:t xml:space="preserve">An operator shall, as soon as practicable, report to the director any information relating to abnormal wagering activity or patterns that may indicate a concern with the integrity of a sports event or any other conduct that corrupts a wagering outcome of a sports event for purposes of financial gain, including match fixing.  An operator shall concurrently report that information to the relevant sports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Cooperation efforts.</w:t>
        <w:t xml:space="preserve"> </w:t>
      </w:r>
      <w:r>
        <w:t xml:space="preserve"> </w:t>
      </w:r>
      <w:r>
        <w:t xml:space="preserve">An operator shall use commercially reasonable efforts to cooperate with investigations conducted by sports governing bodies or law enforcement agencies, including but not limited to using commercially reasonable efforts to provide or facilitate the provision of wagering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Information confidentiality.</w:t>
        <w:t xml:space="preserve"> </w:t>
      </w:r>
      <w:r>
        <w:t xml:space="preserve"> </w:t>
      </w:r>
      <w:r>
        <w:t xml:space="preserve">The director and operators shall maintain the confidentiality of information provided by a sports governing body for purposes of investigating or preventing the conduct described in this section, unless disclosure is otherwise required by the director or by law or unless the sports governing body consents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Information use and disclosure.</w:t>
        <w:t xml:space="preserve"> </w:t>
      </w:r>
      <w:r>
        <w:t xml:space="preserve"> </w:t>
      </w:r>
      <w:r>
        <w:t xml:space="preserve">With respect to any information provided by an operator to a sports governing body relating to conduct described in this section, a sports governing body:</w:t>
      </w:r>
    </w:p>
    <w:p>
      <w:pPr>
        <w:jc w:val="both"/>
        <w:spacing w:before="100" w:after="0"/>
        <w:ind w:start="720"/>
      </w:pPr>
      <w:r>
        <w:rPr/>
        <w:t>A</w:t>
        <w:t xml:space="preserve">.  </w:t>
      </w:r>
      <w:r>
        <w:rPr/>
      </w:r>
      <w:r>
        <w:t xml:space="preserve">May use such information only for integrity-monitoring purposes and may not use the information for any commercial or other purpose;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maintain the confidentiality of the information, unless disclosure is otherwise required by the director or by law or unless the operator consents to disclosure, except that the sports governing body may make disclosures necessary to conduct and resolve integrity-related investigations and may publicly disclose such information if required by the sports governing body's integrity policies or if determined by the sports governing body in its reasonable judgment to be necessary to maintain the actual or perceived integrity of its sports events.  Prior to any public disclosure that would identify the operator by name, the sports governing body shall provide that operator with notice of the disclosure and an opportunity to object to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1217</w:t>
        <w:t xml:space="preserve">.  </w:t>
      </w:r>
      <w:r>
        <w:rPr>
          <w:b/>
        </w:rPr>
        <w:t xml:space="preserve">Interception of sports wagering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"Licensee" means a facility operator, a mobile operator or a management services licensee under </w:t>
      </w:r>
      <w:r>
        <w:t>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"Registry operator" means the department or an entity with which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"Winner" means a sports wagering patron to whom cash is returned as winnings for placement of a sports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sports wagering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include in its report to the Legislature under </w:t>
      </w:r>
      <w:r>
        <w:t>section 1066</w:t>
      </w:r>
      <w:r>
        <w:t xml:space="preserve"> the following information: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REGULATION OF SPORTS WAGERING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REGULATION OF SPORTS WAGERING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35. REGULATION OF SPORTS WAGERING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