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§1004-A. Surveillance and monitoring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§1004-A. Surveillance and monitoring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§1004-A. SURVEILLANCE AND MONITORING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