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Licensing of gambling services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provide gambling services in the State unless the person is licensed as a gambling services vendor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gambling services vendor license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Licensing of gambling services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Licensing of gambling services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§1014. LICENSING OF GAMBLING SERVICES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