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Annual report on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§1037. ANNUAL REPORT ON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