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Access to premises and equipment</w:t>
      </w:r>
    </w:p>
    <w:p>
      <w:pPr>
        <w:jc w:val="both"/>
        <w:spacing w:before="100" w:after="100"/>
        <w:ind w:start="360"/>
        <w:ind w:firstLine="360"/>
      </w:pPr>
      <w:r>
        <w:rPr/>
      </w:r>
      <w:r>
        <w:rPr/>
      </w:r>
      <w:r>
        <w:t xml:space="preserve">A licensee under this chapter shall permit the director, the department or a designee of the director unrestricted access, during regular business hours, including access to locked or secured areas, to inspect any facility and any equipment, prizes, records or other items to be used in the operation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 Access to premises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Access to premises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§1212. ACCESS TO PREMISES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