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Applicability of other laws</w:t>
      </w:r>
    </w:p>
    <w:p>
      <w:pPr>
        <w:jc w:val="both"/>
        <w:spacing w:before="100" w:after="0"/>
        <w:ind w:start="360"/>
        <w:ind w:firstLine="360"/>
      </w:pPr>
      <w:r>
        <w:rPr>
          <w:b/>
        </w:rPr>
        <w:t>1</w:t>
        <w:t xml:space="preserve">.  </w:t>
      </w:r>
      <w:r>
        <w:rPr>
          <w:b/>
        </w:rPr>
        <w:t xml:space="preserve">Authorized conduct.</w:t>
        <w:t xml:space="preserve"> </w:t>
      </w:r>
      <w:r>
        <w:t xml:space="preserve"> </w:t>
      </w:r>
      <w:r>
        <w:t xml:space="preserve">The provisions of </w:t>
      </w:r>
      <w:r>
        <w:t>Title 17, chapter 62</w:t>
      </w:r>
      <w:r>
        <w:t xml:space="preserve"> and </w:t>
      </w:r>
      <w:r>
        <w:t>Title 17‑A, chapter 39</w:t>
      </w:r>
      <w:r>
        <w:t xml:space="preserve"> do not apply to sports wagering conducted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Unlicensed conduct.</w:t>
        <w:t xml:space="preserve"> </w:t>
      </w:r>
      <w:r>
        <w:t xml:space="preserve"> </w:t>
      </w:r>
      <w:r>
        <w:t xml:space="preserve">A person who engages in an activity for which a license is required under this chapter and who does not possess the required license to engage in that activity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Unauthorized conduct by licensees.</w:t>
        <w:t xml:space="preserve"> </w:t>
      </w:r>
      <w:r>
        <w:t xml:space="preserve"> </w:t>
      </w:r>
      <w:r>
        <w:t xml:space="preserve">In addition to any penalties that may be imposed pursuant to </w:t>
      </w:r>
      <w:r>
        <w:t>section 1205</w:t>
      </w:r>
      <w:r>
        <w:t xml:space="preserve">, a licensee who conducts sports wagering in violation of this chapter or the rules adopted under this chapter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§1219. Applicability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Applicability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§1219. APPLICABILITY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