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Violations</w:t>
      </w:r>
    </w:p>
    <w:p>
      <w:pPr>
        <w:jc w:val="both"/>
        <w:spacing w:before="100" w:after="100"/>
        <w:ind w:start="360"/>
        <w:ind w:firstLine="360"/>
      </w:pPr>
      <w:r>
        <w:rPr/>
      </w:r>
      <w:r>
        <w:rPr/>
      </w:r>
      <w:r>
        <w:t xml:space="preserve">An owner, lessee, tenant or licensee of a pavilion, hall or other building in which a dance is held in violation of any restriction imposed by </w:t>
      </w:r>
      <w:r>
        <w:t>section 161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2007,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§162.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