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§270-A. Confidentiality of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§270-A. Confidentiality of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§270-A. CONFIDENTIALITY OF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