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Records</w:t>
      </w:r>
    </w:p>
    <w:p>
      <w:pPr>
        <w:jc w:val="both"/>
        <w:spacing w:before="100" w:after="100"/>
        <w:ind w:start="360"/>
        <w:ind w:firstLine="360"/>
      </w:pPr>
      <w:r>
        <w:rPr/>
      </w:r>
      <w:r>
        <w:rPr/>
      </w:r>
      <w:r>
        <w:t xml:space="preserve">Every person, association or corporation conducting a race or race meet under the provisions of this chapter shall so keep its books and records as to clearly show all financial transactions related to </w:t>
      </w:r>
      <w:r>
        <w:t>sections 281</w:t>
      </w:r>
      <w:r>
        <w:t xml:space="preserve">, </w:t>
      </w:r>
      <w:r>
        <w:t>298</w:t>
      </w:r>
      <w:r>
        <w:t xml:space="preserve">, </w:t>
      </w:r>
      <w:r>
        <w:t>299</w:t>
      </w:r>
      <w:r>
        <w:t xml:space="preserve"> and </w:t>
      </w:r>
      <w:r>
        <w:t>300</w:t>
      </w:r>
      <w:r>
        <w:t xml:space="preserve">, which books and records are subject to audit at any time by the department or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231,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§10 (REV). PL 2017, c. 231,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