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Prohibition</w:t>
      </w:r>
    </w:p>
    <w:p>
      <w:pPr>
        <w:jc w:val="both"/>
        <w:spacing w:before="100" w:after="100"/>
        <w:ind w:start="360"/>
        <w:ind w:firstLine="360"/>
      </w:pPr>
      <w:r>
        <w:rPr/>
      </w:r>
      <w:r>
        <w:rPr/>
      </w:r>
      <w:r>
        <w:t xml:space="preserve">A person may not hold, conduct or operate greyhound racing for public exhibition.  A person may not transmit or receive interstate simulcasting of greyhound racing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1993, c. 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§301.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