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608</w:t>
        <w:t xml:space="preserve">.  </w:t>
      </w:r>
      <w:r>
        <w:rPr>
          <w:b/>
        </w:rPr>
        <w:t xml:space="preserve">Violation; liability</w:t>
      </w:r>
    </w:p>
    <w:p>
      <w:pPr>
        <w:jc w:val="both"/>
        <w:spacing w:before="100" w:after="100"/>
        <w:ind w:start="360"/>
        <w:ind w:firstLine="360"/>
      </w:pPr>
      <w:r>
        <w:rPr/>
      </w:r>
      <w:r>
        <w:rPr/>
      </w:r>
      <w:r>
        <w:t xml:space="preserve">A skater or operator who violates this subchapter is liable to an injured person in a civil action for damages resulting from the violation.</w:t>
      </w:r>
      <w:r>
        <w:t xml:space="preserve">  </w:t>
      </w:r>
      <w:r xmlns:wp="http://schemas.openxmlformats.org/drawingml/2010/wordprocessingDrawing" xmlns:w15="http://schemas.microsoft.com/office/word/2012/wordml">
        <w:rPr>
          <w:rFonts w:ascii="Arial" w:hAnsi="Arial" w:cs="Arial"/>
          <w:sz w:val="22"/>
          <w:szCs w:val="22"/>
        </w:rPr>
        <w:t xml:space="preserve">[PL 1991, c. 124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124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§608. Violation;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§608. Violation;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§608. VIOLATION;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