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§11-102. Purpose;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Purpose;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§11-102. PURPOSE;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