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11-106</w:t>
        <w:t xml:space="preserve">.  </w:t>
      </w:r>
      <w:r>
        <w:rPr>
          <w:b/>
        </w:rPr>
        <w:t xml:space="preserve">Inapplicability of other laws; exempt transactions</w:t>
      </w:r>
    </w:p>
    <w:p>
      <w:pPr>
        <w:jc w:val="both"/>
        <w:spacing w:before="100" w:after="100"/>
        <w:ind w:start="360"/>
        <w:ind w:firstLine="360"/>
      </w:pPr>
      <w:r>
        <w:rPr>
          <w:b/>
        </w:rPr>
        <w:t>1</w:t>
        <w:t xml:space="preserve">.  </w:t>
      </w:r>
      <w:r>
        <w:rPr>
          <w:b/>
        </w:rPr>
      </w:r>
      <w:r>
        <w:t xml:space="preserve"> </w:t>
      </w:r>
      <w:r>
        <w:t xml:space="preserve">A rental-purchase agreement that complies with this Article is not considered or governed by the laws related to:</w:t>
      </w:r>
    </w:p>
    <w:p>
      <w:pPr>
        <w:jc w:val="both"/>
        <w:spacing w:before="100" w:after="0"/>
        <w:ind w:start="720"/>
      </w:pPr>
      <w:r>
        <w:rPr/>
        <w:t>A</w:t>
        <w:t xml:space="preserve">.  </w:t>
      </w:r>
      <w:r>
        <w:rPr/>
      </w:r>
      <w:r>
        <w:t xml:space="preserve">A "home solicitation sale" as defined in </w:t>
      </w:r>
      <w:r>
        <w:t>section 3‑501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A "consumer credit sale" as defined in </w:t>
      </w:r>
      <w:r>
        <w:t>section 1‑301, subsection 11</w:t>
      </w:r>
      <w:r>
        <w:t xml:space="preserve">; except that the following sections of the Maine Consumer Credit Code apply:  </w:t>
      </w:r>
      <w:r>
        <w:t>section 1‑107</w:t>
      </w:r>
      <w:r>
        <w:t xml:space="preserve">, waiver, agreement to forego rights, settlement of claims; </w:t>
      </w:r>
      <w:r>
        <w:t>section 1‑111</w:t>
      </w:r>
      <w:r>
        <w:t xml:space="preserve">, record retention; </w:t>
      </w:r>
      <w:r>
        <w:t>section 1‑201</w:t>
      </w:r>
      <w:r>
        <w:t xml:space="preserve">, territorial application; </w:t>
      </w:r>
      <w:r>
        <w:t>section 1‑202</w:t>
      </w:r>
      <w:r>
        <w:t xml:space="preserve">, exclusions; </w:t>
      </w:r>
      <w:r>
        <w:t>section 1‑203</w:t>
      </w:r>
      <w:r>
        <w:t xml:space="preserve">, jurisdiction and service of process; </w:t>
      </w:r>
      <w:r>
        <w:t>section 2‑507</w:t>
      </w:r>
      <w:r>
        <w:t xml:space="preserve">, attorney's fees and collection costs; </w:t>
      </w:r>
      <w:r>
        <w:t>section 3‑202</w:t>
      </w:r>
      <w:r>
        <w:t xml:space="preserve">, notice to consumer; </w:t>
      </w:r>
      <w:r>
        <w:t>section 3‑203</w:t>
      </w:r>
      <w:r>
        <w:t xml:space="preserve">, notice of assignment; </w:t>
      </w:r>
      <w:r>
        <w:t>section 3‑305</w:t>
      </w:r>
      <w:r>
        <w:t xml:space="preserve">, no assignment of earnings; </w:t>
      </w:r>
      <w:r>
        <w:t>section 3‑306</w:t>
      </w:r>
      <w:r>
        <w:t xml:space="preserve">, authorization to confess judgment prohibited; </w:t>
      </w:r>
      <w:r>
        <w:t>section 3‑307</w:t>
      </w:r>
      <w:r>
        <w:t xml:space="preserve">, certain negotiable instruments prohibited; </w:t>
      </w:r>
      <w:r>
        <w:t>section 3‑309</w:t>
      </w:r>
      <w:r>
        <w:t xml:space="preserve">, referral sales; </w:t>
      </w:r>
      <w:r>
        <w:t>section 3‑403</w:t>
      </w:r>
      <w:r>
        <w:t xml:space="preserve">, assignee subject to defenses; </w:t>
      </w:r>
      <w:r>
        <w:t>section 5‑104</w:t>
      </w:r>
      <w:r>
        <w:t xml:space="preserve">, no garnishment before judgment; </w:t>
      </w:r>
      <w:r>
        <w:t>section 5‑105</w:t>
      </w:r>
      <w:r>
        <w:t xml:space="preserve">, limitation on garnishment; </w:t>
      </w:r>
      <w:r>
        <w:t>section 5‑106</w:t>
      </w:r>
      <w:r>
        <w:t xml:space="preserve">, no discharge from employment for garnishment; </w:t>
      </w:r>
      <w:r>
        <w:t>section 5‑112</w:t>
      </w:r>
      <w:r>
        <w:t xml:space="preserve">, creditor's right to take possession after default; </w:t>
      </w:r>
      <w:r>
        <w:t>section 5‑113</w:t>
      </w:r>
      <w:r>
        <w:t xml:space="preserve">, venue; </w:t>
      </w:r>
      <w:r>
        <w:t>section 5‑114</w:t>
      </w:r>
      <w:r>
        <w:t xml:space="preserve">, stay of enforcement of judgment; </w:t>
      </w:r>
      <w:r>
        <w:t>section 5‑115</w:t>
      </w:r>
      <w:r>
        <w:t xml:space="preserve">, misrepresentation; </w:t>
      </w:r>
      <w:r>
        <w:t>section 5‑116</w:t>
      </w:r>
      <w:r>
        <w:t xml:space="preserve">, illegal, fraudulent or unconscionable conduct in attempted collection of debts; </w:t>
      </w:r>
      <w:r>
        <w:t>section 5‑117</w:t>
      </w:r>
      <w:r>
        <w:t xml:space="preserve">, prohibited practices; </w:t>
      </w:r>
      <w:r>
        <w:t>section 5‑201</w:t>
      </w:r>
      <w:r>
        <w:t xml:space="preserve">, effect of violations on rights of parties; </w:t>
      </w:r>
      <w:r>
        <w:t>section 5‑202</w:t>
      </w:r>
      <w:r>
        <w:t xml:space="preserve">, refunds and penalties as setoff to obligation; </w:t>
      </w:r>
      <w:r>
        <w:t>section 5‑301</w:t>
      </w:r>
      <w:r>
        <w:t xml:space="preserve">, violations; </w:t>
      </w:r>
      <w:r>
        <w:t>Article VI</w:t>
      </w:r>
      <w:r>
        <w:t xml:space="preserve"> in its entirety, except that the term "original unpaid balances arising from consumer credit transactions" described in </w:t>
      </w:r>
      <w:r>
        <w:t>section 6‑203, subsection 2</w:t>
      </w:r>
      <w:r>
        <w:t xml:space="preserve"> means "gross rental receipts from rental-purchase agreements" for purposes of administration of this Article; </w:t>
      </w:r>
      <w:r>
        <w:t>Article 8‑A</w:t>
      </w:r>
      <w:r>
        <w:t xml:space="preserve"> requirements related to model forms; and Federal Truth in Lending Act, 15 United States Code, Section 1666a requirements related to credit reports;</w:t>
      </w:r>
      <w:r>
        <w:t xml:space="preserve">  </w:t>
      </w:r>
      <w:r xmlns:wp="http://schemas.openxmlformats.org/drawingml/2010/wordprocessingDrawing" xmlns:w15="http://schemas.microsoft.com/office/word/2012/wordml">
        <w:rPr>
          <w:rFonts w:ascii="Arial" w:hAnsi="Arial" w:cs="Arial"/>
          <w:sz w:val="22"/>
          <w:szCs w:val="22"/>
        </w:rPr>
        <w:t xml:space="preserve">[PL 2011, c. 427, Pt. D, §15 (AMD).]</w:t>
      </w:r>
    </w:p>
    <w:p>
      <w:pPr>
        <w:jc w:val="both"/>
        <w:spacing w:before="100" w:after="0"/>
        <w:ind w:start="720"/>
      </w:pPr>
      <w:r>
        <w:rPr/>
        <w:t>C</w:t>
        <w:t xml:space="preserve">.  </w:t>
      </w:r>
      <w:r>
        <w:rPr/>
      </w:r>
      <w:r>
        <w:t xml:space="preserve">A "consumer lease" as defined in </w:t>
      </w:r>
      <w:r>
        <w:t>section 1‑301,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D</w:t>
        <w:t xml:space="preserve">.  </w:t>
      </w:r>
      <w:r>
        <w:rPr/>
      </w:r>
      <w:r>
        <w:t xml:space="preserve">A "sale of goods" as defined in </w:t>
      </w:r>
      <w:r>
        <w:t>section 1‑301, subsection 33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E</w:t>
        <w:t xml:space="preserve">.  </w:t>
      </w:r>
      <w:r>
        <w:rPr/>
      </w:r>
      <w:r>
        <w:t xml:space="preserve">A "security interest" as defined in </w:t>
      </w:r>
      <w:r>
        <w:t>Title 11, section 1‑1201, subsection (35)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§11 (AMD).]</w:t>
      </w:r>
    </w:p>
    <w:p>
      <w:pPr>
        <w:jc w:val="both"/>
        <w:spacing w:before="100" w:after="100"/>
        <w:ind w:start="360"/>
        <w:ind w:firstLine="360"/>
      </w:pPr>
      <w:r>
        <w:rPr>
          <w:b/>
        </w:rPr>
        <w:t>2</w:t>
        <w:t xml:space="preserve">.  </w:t>
      </w:r>
      <w:r>
        <w:rPr>
          <w:b/>
        </w:rPr>
      </w:r>
      <w:r>
        <w:t xml:space="preserve"> </w:t>
      </w:r>
      <w:r>
        <w:t xml:space="preserve">This Article does not apply to:</w:t>
      </w:r>
    </w:p>
    <w:p>
      <w:pPr>
        <w:jc w:val="both"/>
        <w:spacing w:before="100" w:after="0"/>
        <w:ind w:start="720"/>
      </w:pPr>
      <w:r>
        <w:rPr/>
        <w:t>A</w:t>
        <w:t xml:space="preserve">.  </w:t>
      </w:r>
      <w:r>
        <w:rPr/>
      </w:r>
      <w:r>
        <w:t xml:space="preserve">A rental-purchase agreement made primarily for business, commercial or agricultural purposes or made with a governmental agency or instrumentality;</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A lease of a safe-deposit box;</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C</w:t>
        <w:t xml:space="preserve">.  </w:t>
      </w:r>
      <w:r>
        <w:rPr/>
      </w:r>
      <w:r>
        <w:t xml:space="preserve">A lease or bailment of personal property that is incidental to the lease of real property and does not provide the consumer with an option to purchase the leased property;</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D</w:t>
        <w:t xml:space="preserve">.  </w:t>
      </w:r>
      <w:r>
        <w:rPr/>
      </w:r>
      <w:r>
        <w:t xml:space="preserve">A lease of an automobile; or</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E</w:t>
        <w:t xml:space="preserve">.  </w:t>
      </w:r>
      <w:r>
        <w:rPr/>
      </w:r>
      <w:r>
        <w:t xml:space="preserve">A lease of real estate.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2011, c. 427, Pt. D, §15 (AMD). PL 2021, c. 676, Pt. A,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§11-106. Inapplicability of other laws; exempt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§11-106. Inapplicability of other laws; exempt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§11-106. INAPPLICABILITY OF OTHER LAWS; EXEMPT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