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ind w:firstLine="360"/>
      </w:pPr>
      <w:r>
        <w:rPr>
          <w:b/>
        </w:rPr>
        <w:t>1</w:t>
        <w:t xml:space="preserve">.  </w:t>
      </w:r>
      <w:r>
        <w:rPr>
          <w:b/>
        </w:rPr>
      </w:r>
      <w:r>
        <w:t xml:space="preserve"> </w:t>
      </w:r>
      <w:r>
        <w:t xml:space="preserve">"Consumer" means a person or entity residing or domiciled in this State with a pending civil claim or action and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means a transaction in which a company makes a cash payment to a consumer in exchange for the right to receive an amount out of the potential proceeds of any realized settlement, judgment, award or verdict the consumer may receive in a civil claim or action.  If no proceeds in the civil claim or action are received, the consumer is not required to pay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"Litigation funding provider" means a person or entity, wherever located, that provides legal funding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