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12-105</w:t>
        <w:t xml:space="preserve">.  </w:t>
      </w:r>
      <w:r>
        <w:rPr>
          <w:b/>
        </w:rPr>
        <w:t xml:space="preserve">Fee requirements</w:t>
      </w:r>
    </w:p>
    <w:p>
      <w:pPr>
        <w:jc w:val="both"/>
        <w:spacing w:before="100" w:after="0"/>
        <w:ind w:start="360"/>
        <w:ind w:firstLine="360"/>
      </w:pPr>
      <w:r>
        <w:rPr>
          <w:b/>
        </w:rPr>
        <w:t>1</w:t>
        <w:t xml:space="preserve">.  </w:t>
      </w:r>
      <w:r>
        <w:rPr>
          <w:b/>
        </w:rPr>
      </w:r>
      <w:r>
        <w:t xml:space="preserve"> </w:t>
      </w:r>
      <w:r>
        <w:t xml:space="preserve">A litigation funding provider may not assess fees for any period exceeding 42 months from the date of the contract with the civil litigant.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Fees assessed by a litigation funding provider may compound semiannually but may not compound based on any lesser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In calculating the annual percentage fee or rate of return, a litigation funding provider must include all charges payable directly or indirectly by the consumer, and must compute the rate based only on amounts actually received and retained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§12-105. Fee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§12-105. Fee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§12-105. FEE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