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§13-112. Enforcement authorities,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Enforcement authorities,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§13-112. ENFORCEMENT AUTHORITIES,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