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14-102</w:t>
        <w:t xml:space="preserve">.  </w:t>
      </w:r>
      <w:r>
        <w:rPr>
          <w:b/>
        </w:rPr>
        <w:t xml:space="preserve">Applicability</w:t>
      </w:r>
    </w:p>
    <w:p>
      <w:pPr>
        <w:jc w:val="both"/>
        <w:spacing w:before="100" w:after="100"/>
        <w:ind w:start="360"/>
        <w:ind w:firstLine="360"/>
      </w:pPr>
      <w:r>
        <w:rPr/>
      </w:r>
      <w:r>
        <w:rPr/>
      </w:r>
      <w:r>
        <w:t xml:space="preserve">This Article applies to a person who acts as a student loan servicer in this State, except that this Article does not apply to a supervised financial organization or a financial institution holding company as defined in </w:t>
      </w:r>
      <w:r>
        <w:t>Title 9‑B, section 1011, subsection 1</w:t>
      </w:r>
      <w:r>
        <w:t xml:space="preserve">, to a mutual holding company as defined in </w:t>
      </w:r>
      <w:r>
        <w:t>Title 9‑B, section 1052, subsection 2</w:t>
      </w:r>
      <w:r>
        <w:t xml:space="preserve"> or to a wholly owned subsidiary of a supervised financial organization, financial institution holding company or mutual holding company.</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§14-102.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§14-102.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§14-102.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