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No other business for purpose of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No other business for purpose of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§2-309. NO OTHER BUSINESS FOR PURPOSE OF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