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Finance charge for other credit transactions</w:t>
      </w:r>
    </w:p>
    <w:p>
      <w:pPr>
        <w:jc w:val="both"/>
        <w:spacing w:before="100" w:after="100"/>
        <w:ind w:start="360"/>
        <w:ind w:firstLine="360"/>
      </w:pPr>
      <w:r>
        <w:rPr/>
      </w:r>
      <w:r>
        <w:rPr/>
      </w:r>
      <w:r>
        <w:t xml:space="preserve">Except where otherwise provided by law with respect to a credit transaction other than a consumer credit transaction, the parties may contract for the payment by the debtor of any finance charge.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§2-601. Finance charge for other credit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Finance charge for other credit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§2-601. FINANCE CHARGE FOR OTHER CREDIT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