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Engaging in pretense to evade requirements of this Article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§2-701. ENGAGING IN PRETENSE TO EVADE REQUIREMENTS OF THIS ARTICLE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