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Cross-collateral</w:t>
      </w:r>
    </w:p>
    <w:p>
      <w:pPr>
        <w:jc w:val="both"/>
        <w:spacing w:before="100" w:after="0"/>
        <w:ind w:start="360"/>
        <w:ind w:firstLine="360"/>
      </w:pPr>
      <w:r>
        <w:rPr>
          <w:b/>
        </w:rPr>
        <w:t>1</w:t>
        <w:t xml:space="preserve">.  </w:t>
      </w:r>
      <w:r>
        <w:rPr>
          <w:b/>
        </w:rPr>
      </w:r>
      <w:r>
        <w:t xml:space="preserve"> </w:t>
      </w:r>
      <w:r>
        <w:t xml:space="preserve">In addition to contracting for a security interest pursuant to the provisions on security in sales or leases, </w:t>
      </w:r>
      <w:r>
        <w:t>section 3‑301</w:t>
      </w:r>
      <w:r>
        <w:t xml:space="preserve">,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seller contracts for a security interest in other property pursuant to this section, the rate of finance charge thereafter on the aggregate unpaid balances so secured may not exceed that permitted if the balances so secured were consolidated pursuant to the provisions on consolidation involving a refinancing, </w:t>
      </w:r>
      <w:r>
        <w:t>section 2‑505, subsection 1</w:t>
      </w:r>
      <w:r>
        <w:t xml:space="preserve">. The seller has a reasonable time after so contracting to make any adjustments required by this section. "Seller" in this section does not include an assignee not related to the original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Cross-collateral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Cross-collateral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§3-302. CROSS-COLLATERAL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