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Scope</w:t>
      </w:r>
    </w:p>
    <w:p>
      <w:pPr>
        <w:jc w:val="both"/>
        <w:spacing w:before="100" w:after="100"/>
        <w:ind w:start="360"/>
        <w:ind w:firstLine="360"/>
      </w:pPr>
      <w:r>
        <w:rPr/>
      </w:r>
      <w:r>
        <w:rPr/>
      </w:r>
      <w:r>
        <w:t xml:space="preserve">This Part applies to actions or other proceedings to enforce rights arising from consumer credit transactions; and, in addition, to extortionate extensions of credit, </w:t>
      </w:r>
      <w:r>
        <w:t>section 5‑107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2,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RR 2013, c. 2,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