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Cure of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Cure of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§5-111. CURE OF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