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Scope</w:t>
      </w:r>
    </w:p>
    <w:p>
      <w:pPr>
        <w:jc w:val="both"/>
        <w:spacing w:before="100" w:after="100"/>
        <w:ind w:start="360"/>
        <w:ind w:firstLine="360"/>
      </w:pPr>
      <w:r>
        <w:rPr/>
      </w:r>
      <w:r>
        <w:rPr/>
      </w:r>
      <w:r>
        <w:t xml:space="preserve">This Article applies to all consumer credit transactions made by creditors that are not supervised financial organizations, that are made to finance or refinance the acquisition of real estate or the initial construction of a dwelling or that are secured by a first-lien mortgage on real estate and applies to the servicing of those transactions.</w:t>
      </w:r>
      <w:r>
        <w:t xml:space="preserve">  </w:t>
      </w:r>
      <w:r xmlns:wp="http://schemas.openxmlformats.org/drawingml/2010/wordprocessingDrawing" xmlns:w15="http://schemas.microsoft.com/office/word/2012/wordml">
        <w:rPr>
          <w:rFonts w:ascii="Arial" w:hAnsi="Arial" w:cs="Arial"/>
          <w:sz w:val="22"/>
          <w:szCs w:val="22"/>
        </w:rPr>
        <w:t xml:space="preserve">[PL 2017, c. 106,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2007, c. 273, Pt. A, §24 (AMD). PL 2007, c. 273, Pt. A, §41 (AFF). PL 2017, c. 106,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§9-101.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