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9-315</w:t>
        <w:t xml:space="preserve">.  </w:t>
      </w:r>
      <w:r>
        <w:rPr>
          <w:b/>
        </w:rPr>
        <w:t xml:space="preserve">Notice of rights under federal Homeowners Protection Act of 1998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mortgage insurance" has the same meaning as in the federal Homeowners Protection Act of 1998, as in effect on January 1, 2023, 12 United States Code, Section 4901(13).</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"Residential mortgage transaction" means a transaction in which a mortgage, deed of trust, purchase money security interest arising under an installment contract or equivalent consensual security interest is created or retained against a single-family dwelling or a dwelling that consists of no more than 4 units that is the principal residence of the mortgagor to finance the acquisition, initial construction or refinancing of that dwelling.</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w:pPr>
        <w:jc w:val="both"/>
        <w:spacing w:before="100" w:after="100"/>
        <w:ind w:start="360"/>
        <w:ind w:firstLine="360"/>
      </w:pPr>
      <w:r>
        <w:rPr>
          <w:b/>
        </w:rPr>
        <w:t>2</w:t>
        <w:t xml:space="preserve">.  </w:t>
      </w:r>
      <w:r>
        <w:rPr>
          <w:b/>
        </w:rPr>
        <w:t xml:space="preserve">Annual notice.</w:t>
        <w:t xml:space="preserve"> </w:t>
      </w:r>
      <w:r>
        <w:t xml:space="preserve"> </w:t>
      </w:r>
      <w:r>
        <w:t xml:space="preserve">A supervised lender, or a mortgage loan servicer acting on behalf of a supervised lender, in a residential mortgage transaction shall disclose in an annual written statement to the mortgagor:</w:t>
      </w:r>
    </w:p>
    <w:p>
      <w:pPr>
        <w:jc w:val="both"/>
        <w:spacing w:before="100" w:after="0"/>
        <w:ind w:start="720"/>
      </w:pPr>
      <w:r>
        <w:rPr/>
        <w:t>A</w:t>
        <w:t xml:space="preserve">.  </w:t>
      </w:r>
      <w:r>
        <w:rPr/>
      </w:r>
      <w:r>
        <w:t xml:space="preserve">The rights of the mortgagor under the federal Homeowners Protection Act of 1998 to cancellation or termination of the private mortgage insurance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The address and telephone number that the mortgagor may use to contact the supervised lender or mortgage loan servicer to determine whether the mortgagor may cancel the private mortgage insurance.</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§9-315. Notice of rights under federal Homeowners Protection Act of 1998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§9-315. Notice of rights under federal Homeowners Protection Act of 1998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§9-315. NOTICE OF RIGHTS UNDER FEDERAL HOMEOWNERS PROTECTION ACT OF 1998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