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9-408</w:t>
        <w:t xml:space="preserve">.  </w:t>
      </w:r>
      <w:r>
        <w:rPr>
          <w:b/>
        </w:rPr>
        <w:t xml:space="preserve">Violation of the Maine Unfair Trade Practices Act</w:t>
      </w:r>
    </w:p>
    <w:p>
      <w:pPr>
        <w:jc w:val="both"/>
        <w:spacing w:before="100" w:after="100"/>
        <w:ind w:start="360"/>
        <w:ind w:firstLine="360"/>
      </w:pPr>
      <w:r>
        <w:rPr/>
      </w:r>
      <w:r>
        <w:rPr/>
      </w:r>
      <w:r>
        <w:t xml:space="preserve">Any violation of this article constitutes a violation of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2009, c. 402,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§9-408. Violation of the Maine Unfair Trade Practices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§9-408. Violation of the Maine Unfair Trade Practices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§9-408. VIOLATION OF THE MAINE UNFAIR TRADE PRACTICES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