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ORGANIZATION AND FORMATION</w:t>
      </w:r>
    </w:p>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ORGANIZATION AND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ORGANIZATION AND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81. ORGANIZATION AND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