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§1019-A. Notification of superintendent; purchase of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§1019-A. Notification of superintendent; purchase of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§1019-A. NOTIFICATION OF SUPERINTENDENT; PURCHASE OF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