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Organization of uninsured banks</w:t>
      </w:r>
    </w:p>
    <w:p>
      <w:pPr>
        <w:jc w:val="both"/>
        <w:spacing w:before="100" w:after="0"/>
        <w:ind w:start="360"/>
        <w:ind w:firstLine="360"/>
      </w:pPr>
      <w:r>
        <w:rPr>
          <w:b/>
        </w:rPr>
        <w:t>1</w:t>
        <w:t xml:space="preserve">.  </w:t>
      </w:r>
      <w:r>
        <w:rPr>
          <w:b/>
        </w:rPr>
        <w:t xml:space="preserve">Organization.</w:t>
        <w:t xml:space="preserve"> </w:t>
      </w:r>
      <w:r>
        <w:t xml:space="preserve"> </w:t>
      </w:r>
      <w:r>
        <w:t xml:space="preserve">An uninsured bank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an uninsured bank organized prior to the effective date of this subsection, an uninsured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§6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an uninsured bank that are filed with the Secretary of State must contain the following statement:  "This corporation, limited liability company, limited partnership or limited liability partnership is subject to the Maine Revised Statutes, </w:t>
      </w:r>
      <w:r>
        <w:t>Title 9‑B, chapter 123</w:t>
      </w:r>
      <w:r>
        <w:t xml:space="preserve"> and does not have the power to solicit, receive or accept retail deposits."  This statement in the organizational documents of an uninsured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An uninsured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Organization of uninsured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Organization of uninsured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§1232. ORGANIZATION OF UNINSURED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