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an uninsured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uninsured bank has been appointed.  The asset pledge requirement may be lifted by the superintendent if the superintendent determines that the condition of the uninsured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uninsured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uninsured bank continues business in the ordinary course, the uninsured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an uninsured bank fails to maintain the minimum required asset pledge, the superintendent may determine that the uninsured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§1233-A. Asset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§1233-A. Asset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§1233-A. ASSET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