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Powers of Maine branches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Powers of Maine branches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§1314. POWERS OF MAINE BRANCHES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